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D5" w:rsidRPr="00A543F6" w:rsidRDefault="00A14FD5" w:rsidP="00A14FD5">
      <w:pPr>
        <w:widowControl/>
        <w:jc w:val="left"/>
        <w:rPr>
          <w:rFonts w:ascii="仿宋_GB2312" w:eastAsia="仿宋_GB2312"/>
          <w:b/>
          <w:bCs/>
          <w:sz w:val="32"/>
          <w:szCs w:val="32"/>
        </w:rPr>
      </w:pPr>
      <w:r w:rsidRPr="00A543F6">
        <w:rPr>
          <w:rFonts w:ascii="仿宋_GB2312" w:eastAsia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/>
          <w:b/>
          <w:bCs/>
          <w:sz w:val="32"/>
          <w:szCs w:val="32"/>
        </w:rPr>
        <w:t>3</w:t>
      </w:r>
    </w:p>
    <w:p w:rsidR="00A14FD5" w:rsidRPr="00B045D1" w:rsidRDefault="00A14FD5" w:rsidP="00A14FD5">
      <w:pPr>
        <w:widowControl/>
        <w:jc w:val="center"/>
        <w:rPr>
          <w:rFonts w:ascii="方正小标宋简体" w:eastAsia="方正小标宋简体" w:hAnsi="Calibri"/>
          <w:sz w:val="44"/>
          <w:szCs w:val="44"/>
        </w:rPr>
      </w:pPr>
      <w:r w:rsidRPr="00B045D1">
        <w:rPr>
          <w:rFonts w:ascii="方正小标宋简体" w:eastAsia="方正小标宋简体" w:hAnsi="Calibri" w:hint="eastAsia"/>
          <w:sz w:val="44"/>
          <w:szCs w:val="44"/>
        </w:rPr>
        <w:t>学院形势与政策教育讲座主讲名师及选题推荐表</w:t>
      </w:r>
    </w:p>
    <w:p w:rsidR="00A14FD5" w:rsidRDefault="00A14FD5" w:rsidP="00A14FD5">
      <w:pPr>
        <w:spacing w:line="360" w:lineRule="auto"/>
        <w:rPr>
          <w:rFonts w:ascii="仿宋_GB2312" w:eastAsia="仿宋_GB2312"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4678"/>
        <w:gridCol w:w="2977"/>
      </w:tblGrid>
      <w:tr w:rsidR="00A14FD5" w:rsidTr="00A13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5" w:rsidRPr="00B045D1" w:rsidRDefault="00A14FD5" w:rsidP="00A134B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045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主讲人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5" w:rsidRPr="00B045D1" w:rsidRDefault="00A14FD5" w:rsidP="00A134B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045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5" w:rsidRPr="00B045D1" w:rsidRDefault="00A14FD5" w:rsidP="00A134B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045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5" w:rsidRPr="00B045D1" w:rsidRDefault="00A14FD5" w:rsidP="00A134B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B045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主题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FD5" w:rsidRPr="00B045D1" w:rsidRDefault="00A14FD5" w:rsidP="00A134B3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讲座</w:t>
            </w:r>
            <w:r w:rsidRPr="00B045D1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时间</w:t>
            </w:r>
          </w:p>
        </w:tc>
      </w:tr>
      <w:tr w:rsidR="00A14FD5" w:rsidTr="00A13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14FD5" w:rsidTr="00A13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14FD5" w:rsidTr="00A13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A14FD5" w:rsidTr="00A134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D5" w:rsidRDefault="00A14FD5" w:rsidP="00A134B3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 w:rsidR="00A14FD5" w:rsidRDefault="00A14FD5" w:rsidP="00A14FD5">
      <w:pPr>
        <w:spacing w:line="520" w:lineRule="exact"/>
      </w:pPr>
      <w:r>
        <w:rPr>
          <w:rFonts w:hint="eastAsia"/>
        </w:rPr>
        <w:t>可选课题参考</w:t>
      </w:r>
    </w:p>
    <w:p w:rsidR="00A14FD5" w:rsidRPr="00766F3C" w:rsidRDefault="00A14FD5" w:rsidP="00A14FD5">
      <w:pPr>
        <w:spacing w:line="240" w:lineRule="atLeast"/>
        <w:ind w:firstLineChars="200" w:firstLine="420"/>
      </w:pPr>
      <w:r>
        <w:rPr>
          <w:rFonts w:hint="eastAsia"/>
        </w:rPr>
        <w:t>一</w:t>
      </w:r>
      <w:r>
        <w:t>、国内部分：</w:t>
      </w:r>
      <w:r w:rsidRPr="00766F3C">
        <w:rPr>
          <w:rFonts w:hint="eastAsia"/>
        </w:rPr>
        <w:t>全面深入宣讲习近平总书记系列重要讲话精神和治国</w:t>
      </w:r>
      <w:proofErr w:type="gramStart"/>
      <w:r w:rsidRPr="00766F3C">
        <w:rPr>
          <w:rFonts w:hint="eastAsia"/>
        </w:rPr>
        <w:t>理政新理念</w:t>
      </w:r>
      <w:proofErr w:type="gramEnd"/>
      <w:r w:rsidRPr="00766F3C">
        <w:rPr>
          <w:rFonts w:hint="eastAsia"/>
        </w:rPr>
        <w:t>新思想新战略</w:t>
      </w:r>
      <w:r>
        <w:rPr>
          <w:rFonts w:hint="eastAsia"/>
        </w:rPr>
        <w:t>；</w:t>
      </w:r>
      <w:r w:rsidRPr="00766F3C">
        <w:rPr>
          <w:rFonts w:hint="eastAsia"/>
        </w:rPr>
        <w:t>为党的十九大召开营造良好氛围、宣讲党的十八届六中全会精神，深刻领会全面从严治党的重大部署</w:t>
      </w:r>
      <w:r>
        <w:rPr>
          <w:rFonts w:hint="eastAsia"/>
        </w:rPr>
        <w:t>；</w:t>
      </w:r>
      <w:r w:rsidRPr="00766F3C">
        <w:rPr>
          <w:rFonts w:hint="eastAsia"/>
        </w:rPr>
        <w:t>围绕迎接党的十九大、加强和改进新形势下高校思想政治工作、培育和弘扬社会主义核心价值观等主题深入开展教育活动；准确阐释当前经济形势和发展前景；全面把握农业现代化发展现状和主要任务</w:t>
      </w:r>
      <w:r>
        <w:rPr>
          <w:rFonts w:hint="eastAsia"/>
        </w:rPr>
        <w:t>；</w:t>
      </w:r>
      <w:r w:rsidRPr="009D3DCE">
        <w:rPr>
          <w:rFonts w:hint="eastAsia"/>
        </w:rPr>
        <w:t>正确</w:t>
      </w:r>
      <w:proofErr w:type="gramStart"/>
      <w:r w:rsidRPr="009D3DCE">
        <w:rPr>
          <w:rFonts w:hint="eastAsia"/>
        </w:rPr>
        <w:t>认识两岸</w:t>
      </w:r>
      <w:proofErr w:type="gramEnd"/>
      <w:r w:rsidRPr="009D3DCE">
        <w:rPr>
          <w:rFonts w:hint="eastAsia"/>
        </w:rPr>
        <w:t>关系发展面临的新形势</w:t>
      </w:r>
    </w:p>
    <w:p w:rsidR="00A14FD5" w:rsidRPr="009D3DCE" w:rsidRDefault="00A14FD5" w:rsidP="00A14FD5">
      <w:pPr>
        <w:spacing w:line="240" w:lineRule="atLeast"/>
        <w:ind w:firstLineChars="200" w:firstLine="420"/>
      </w:pPr>
    </w:p>
    <w:p w:rsidR="00A14FD5" w:rsidRPr="00B045D1" w:rsidRDefault="00A14FD5" w:rsidP="00A14FD5">
      <w:pPr>
        <w:spacing w:line="240" w:lineRule="atLeast"/>
        <w:ind w:firstLineChars="200" w:firstLine="420"/>
      </w:pPr>
      <w:r>
        <w:rPr>
          <w:rFonts w:hint="eastAsia"/>
        </w:rPr>
        <w:t>二</w:t>
      </w:r>
      <w:r>
        <w:t>、</w:t>
      </w:r>
      <w:r>
        <w:rPr>
          <w:rFonts w:hint="eastAsia"/>
        </w:rPr>
        <w:t>国际部分</w:t>
      </w:r>
      <w:r>
        <w:t>：</w:t>
      </w:r>
      <w:r w:rsidRPr="009D3DCE">
        <w:rPr>
          <w:rFonts w:hint="eastAsia"/>
        </w:rPr>
        <w:t>把握大国关系发展方向；关注国际热点问题动向；认清世界经济调整变化；了解“一带一路”倡议进展；</w:t>
      </w:r>
      <w:r w:rsidRPr="003F6C8D">
        <w:rPr>
          <w:rFonts w:hint="eastAsia"/>
        </w:rPr>
        <w:t>关注国际秩序变革中的复杂动向、把握国</w:t>
      </w:r>
      <w:r w:rsidRPr="003F6C8D">
        <w:t>际</w:t>
      </w:r>
      <w:r w:rsidRPr="003F6C8D">
        <w:rPr>
          <w:rFonts w:hint="eastAsia"/>
        </w:rPr>
        <w:t>热点问题的</w:t>
      </w:r>
      <w:r w:rsidRPr="003F6C8D">
        <w:t>影响</w:t>
      </w:r>
      <w:r w:rsidRPr="003F6C8D">
        <w:rPr>
          <w:rFonts w:hint="eastAsia"/>
        </w:rPr>
        <w:t>、认清世界经济调整变化、深入了解“一带一路”倡议的进展</w:t>
      </w:r>
    </w:p>
    <w:p w:rsidR="00186BBF" w:rsidRPr="00A14FD5" w:rsidRDefault="00186BBF">
      <w:bookmarkStart w:id="0" w:name="_GoBack"/>
      <w:bookmarkEnd w:id="0"/>
    </w:p>
    <w:sectPr w:rsidR="00186BBF" w:rsidRPr="00A14FD5" w:rsidSect="002C57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Times New Roman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84"/>
    <w:rsid w:val="00186BBF"/>
    <w:rsid w:val="006C2784"/>
    <w:rsid w:val="00A1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2017-02-23T07:59:00Z</dcterms:created>
  <dcterms:modified xsi:type="dcterms:W3CDTF">2017-02-23T07:59:00Z</dcterms:modified>
</cp:coreProperties>
</file>